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CAA64">
      <w:pPr>
        <w:spacing w:before="480" w:after="480" w:line="288" w:lineRule="auto"/>
        <w:ind w:left="0"/>
        <w:jc w:val="center"/>
        <w:rPr>
          <w:rFonts w:hint="eastAsia" w:ascii="Arial" w:hAnsi="Arial" w:eastAsia="等线" w:cs="Arial"/>
          <w:b/>
          <w:sz w:val="52"/>
          <w:lang w:val="en-US" w:eastAsia="zh-CN"/>
        </w:rPr>
      </w:pPr>
      <w:r>
        <w:rPr>
          <w:rFonts w:hint="eastAsia" w:ascii="Arial" w:hAnsi="Arial" w:eastAsia="等线" w:cs="Arial"/>
          <w:b/>
          <w:sz w:val="52"/>
          <w:lang w:val="en-US" w:eastAsia="zh-CN"/>
        </w:rPr>
        <w:t>张家港市第一人民医院</w:t>
      </w:r>
    </w:p>
    <w:p w14:paraId="4344F30F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医疗美容科客户管理系统建设需求</w:t>
      </w:r>
    </w:p>
    <w:p w14:paraId="73A0A838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一、项目建设背景</w:t>
      </w:r>
      <w:bookmarkEnd w:id="0"/>
    </w:p>
    <w:p w14:paraId="702F538D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  我院</w:t>
      </w:r>
      <w:r>
        <w:rPr>
          <w:rFonts w:ascii="Arial" w:hAnsi="Arial" w:eastAsia="等线" w:cs="Arial"/>
          <w:sz w:val="22"/>
        </w:rPr>
        <w:t>医疗美容科室兼具</w:t>
      </w:r>
      <w:r>
        <w:rPr>
          <w:rFonts w:ascii="Arial" w:hAnsi="Arial" w:eastAsia="等线" w:cs="Arial"/>
          <w:b/>
          <w:sz w:val="22"/>
        </w:rPr>
        <w:t>医疗合规属性</w:t>
      </w:r>
      <w:r>
        <w:rPr>
          <w:rFonts w:ascii="Arial" w:hAnsi="Arial" w:eastAsia="等线" w:cs="Arial"/>
          <w:sz w:val="22"/>
        </w:rPr>
        <w:t>与</w:t>
      </w:r>
      <w:r>
        <w:rPr>
          <w:rFonts w:ascii="Arial" w:hAnsi="Arial" w:eastAsia="等线" w:cs="Arial"/>
          <w:b/>
          <w:sz w:val="22"/>
        </w:rPr>
        <w:t>客户服务运营属性</w:t>
      </w:r>
      <w:r>
        <w:rPr>
          <w:rFonts w:ascii="Arial" w:hAnsi="Arial" w:eastAsia="等线" w:cs="Arial"/>
          <w:sz w:val="22"/>
        </w:rPr>
        <w:t>，区别于民营医美机构重营销的模式，公立医美核心以规范诊疗、安全医疗、标准化服务、患者权益保障为核心。目前多数公立医美科室存在客户档案零散、诊疗随访不规范、医患沟通无留存、客户全生命周期管理缺失、院级数据不互通、运营数据无统计、合规风控薄弱等问题，易出现诊疗追溯难、术后服务断层、客户投诉隐患、科室运营效率低等情况。</w:t>
      </w:r>
    </w:p>
    <w:p w14:paraId="5FBD7AD6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为落实卫健委医疗美容诊疗规范、个人信息保护相关法规，打通医院现有信息化系统数据壁垒，实现医美客户从初诊咨询、诊疗服务、术后随访、复诊复购、流失挽回的全流程标准化、数字化管理，提升科室诊疗规范性、客户服务体验与精细化运营能力，特启动医疗美容科客户管理系统建设工作。</w:t>
      </w:r>
    </w:p>
    <w:p w14:paraId="682056BD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二、总体建设原则</w:t>
      </w:r>
      <w:bookmarkEnd w:id="1"/>
    </w:p>
    <w:p w14:paraId="2B7AF23A">
      <w:pPr>
        <w:spacing w:before="120" w:after="120" w:line="288" w:lineRule="auto"/>
        <w:ind w:left="0" w:firstLine="440" w:firstLineChars="200"/>
        <w:jc w:val="left"/>
      </w:pPr>
      <w:r>
        <w:rPr>
          <w:rFonts w:ascii="Arial" w:hAnsi="Arial" w:eastAsia="等线" w:cs="Arial"/>
          <w:sz w:val="22"/>
        </w:rPr>
        <w:t>本系统严格遵循公立医院信息化建设标准，摒弃民营医美重营销、轻合规的设计逻辑，坚守</w:t>
      </w:r>
      <w:r>
        <w:rPr>
          <w:rFonts w:ascii="Arial" w:hAnsi="Arial" w:eastAsia="等线" w:cs="Arial"/>
          <w:b/>
          <w:sz w:val="22"/>
        </w:rPr>
        <w:t>合规为先、医疗为本、数据互通、安全可控、实用高效、可扩展</w:t>
      </w:r>
      <w:r>
        <w:rPr>
          <w:rFonts w:ascii="Arial" w:hAnsi="Arial" w:eastAsia="等线" w:cs="Arial"/>
          <w:sz w:val="22"/>
        </w:rPr>
        <w:t>六大核心原则。</w:t>
      </w:r>
    </w:p>
    <w:p w14:paraId="21357725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合规性</w:t>
      </w:r>
      <w:r>
        <w:rPr>
          <w:rFonts w:ascii="Arial" w:hAnsi="Arial" w:eastAsia="等线" w:cs="Arial"/>
          <w:sz w:val="22"/>
        </w:rPr>
        <w:t>：完全契合国家医美诊疗规范、《个人信息保护法》《医疗机构病历管理规定》，所有诊疗、沟通、收费、随访数据全程留痕、可追溯，满足卫健监管与院内质控要求。</w:t>
      </w:r>
    </w:p>
    <w:p w14:paraId="4E19139E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兼容性</w:t>
      </w:r>
      <w:r>
        <w:rPr>
          <w:rFonts w:ascii="Arial" w:hAnsi="Arial" w:eastAsia="等线" w:cs="Arial"/>
          <w:sz w:val="22"/>
        </w:rPr>
        <w:t>：无缝对接医院现有HIS、EMR、LIS、影像、收费、院感等系统，实现数据双向同步，杜绝信息孤岛。</w:t>
      </w:r>
    </w:p>
    <w:p w14:paraId="5109FA91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安全性</w:t>
      </w:r>
      <w:r>
        <w:rPr>
          <w:rFonts w:ascii="Arial" w:hAnsi="Arial" w:eastAsia="等线" w:cs="Arial"/>
          <w:sz w:val="22"/>
        </w:rPr>
        <w:t>：实行分级权限管控、数据加密存储、操作日志审计，严格保护患者隐私与医疗数据，杜绝数据泄露、篡改、丢失。</w:t>
      </w:r>
    </w:p>
    <w:p w14:paraId="42A92712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实用性</w:t>
      </w:r>
      <w:r>
        <w:rPr>
          <w:rFonts w:ascii="Arial" w:hAnsi="Arial" w:eastAsia="等线" w:cs="Arial"/>
          <w:sz w:val="22"/>
        </w:rPr>
        <w:t>：贴合公立医美日常诊疗、咨询、回访、质控、运营场景，操作简洁，适配医生、护士、咨询师、科室管理员、院级管理员多角色使用。</w:t>
      </w:r>
    </w:p>
    <w:p w14:paraId="3A941892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可扩展性</w:t>
      </w:r>
      <w:r>
        <w:rPr>
          <w:rFonts w:ascii="Arial" w:hAnsi="Arial" w:eastAsia="等线" w:cs="Arial"/>
          <w:sz w:val="22"/>
        </w:rPr>
        <w:t>：采用模块化架构，支持后续新增医美项目、拓展服务场景、对接上级监管平台、新增移动端功能，适配科室长期发展需求。</w:t>
      </w:r>
    </w:p>
    <w:p w14:paraId="7E560CD7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三、整体建设目标</w:t>
      </w:r>
      <w:bookmarkEnd w:id="2"/>
    </w:p>
    <w:p w14:paraId="109E2B75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档案标准化</w:t>
      </w:r>
      <w:r>
        <w:rPr>
          <w:rFonts w:ascii="Arial" w:hAnsi="Arial" w:eastAsia="等线" w:cs="Arial"/>
          <w:sz w:val="22"/>
        </w:rPr>
        <w:t>：建立医美客户专属全生命周期电子档案，整合基础信息、咨询记录、诊疗病历、检查检验、影像资料、收费记录、随访台账，实现一人一档、全程追溯。</w:t>
      </w:r>
    </w:p>
    <w:p w14:paraId="614C9DC3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流程规范化</w:t>
      </w:r>
      <w:r>
        <w:rPr>
          <w:rFonts w:ascii="Arial" w:hAnsi="Arial" w:eastAsia="等线" w:cs="Arial"/>
          <w:sz w:val="22"/>
        </w:rPr>
        <w:t>：标准化咨询、面诊、术前评估、术中登记、术后护理、定期回访、复诊提醒全流程，规避不规范诊疗与口头承诺风险。</w:t>
      </w:r>
    </w:p>
    <w:p w14:paraId="22E1275D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服务精细化</w:t>
      </w:r>
      <w:r>
        <w:rPr>
          <w:rFonts w:ascii="Arial" w:hAnsi="Arial" w:eastAsia="等线" w:cs="Arial"/>
          <w:sz w:val="22"/>
        </w:rPr>
        <w:t>：搭建智能回访、分层服务、术后关怀体系，解决术后服务断层问题，提升客户满意度与科室口碑。</w:t>
      </w:r>
    </w:p>
    <w:p w14:paraId="47FFE2A6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风控常态化</w:t>
      </w:r>
      <w:r>
        <w:rPr>
          <w:rFonts w:ascii="Arial" w:hAnsi="Arial" w:eastAsia="等线" w:cs="Arial"/>
          <w:sz w:val="22"/>
        </w:rPr>
        <w:t>：实现医患沟通留存、敏感行为预警、诊疗合规校验，杜绝违规宣传、私下收费、过度诊疗等风险。</w:t>
      </w:r>
    </w:p>
    <w:p w14:paraId="2A634CE4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运营数据化</w:t>
      </w:r>
      <w:r>
        <w:rPr>
          <w:rFonts w:ascii="Arial" w:hAnsi="Arial" w:eastAsia="等线" w:cs="Arial"/>
          <w:sz w:val="22"/>
        </w:rPr>
        <w:t>：自动统计科室接诊量、项目销量、客户复购率、流失率、满意度等核心数据，为科室运营决策、质控管理提供数据支撑。</w:t>
      </w:r>
    </w:p>
    <w:p w14:paraId="5D2C7382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数据一体化</w:t>
      </w:r>
      <w:r>
        <w:rPr>
          <w:rFonts w:ascii="Arial" w:hAnsi="Arial" w:eastAsia="等线" w:cs="Arial"/>
          <w:sz w:val="22"/>
        </w:rPr>
        <w:t>：打通院内各系统数据，实现医美诊疗数据与院级数据同步归档，满足院内质控、医保核查、卫健上报需求。</w:t>
      </w:r>
    </w:p>
    <w:p w14:paraId="71814C81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四、核心功能建设需求</w:t>
      </w:r>
      <w:bookmarkEnd w:id="3"/>
    </w:p>
    <w:p w14:paraId="003DF444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（一）客户全生命周期档案管理模块（核心基础）</w:t>
      </w:r>
      <w:bookmarkEnd w:id="4"/>
    </w:p>
    <w:p w14:paraId="5720B4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搭建公立医美专属结构化电子档案，全程关联医疗诊疗数据，区别于普通商业会员档案，保障医疗属性优先。</w:t>
      </w:r>
    </w:p>
    <w:p w14:paraId="28A2F1FB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基础档案管理</w:t>
      </w:r>
      <w:r>
        <w:rPr>
          <w:rFonts w:ascii="Arial" w:hAnsi="Arial" w:eastAsia="等线" w:cs="Arial"/>
          <w:sz w:val="22"/>
        </w:rPr>
        <w:t>：自动同步HIS患者挂号信息，支持手动完善客户性别、年龄、肤质、既往病史、过敏史、医美既往史、禁忌症等医美专属信息，杜绝禁忌诊疗风险。</w:t>
      </w:r>
    </w:p>
    <w:p w14:paraId="3EBA3256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诊疗档案整合</w:t>
      </w:r>
      <w:r>
        <w:rPr>
          <w:rFonts w:ascii="Arial" w:hAnsi="Arial" w:eastAsia="等线" w:cs="Arial"/>
          <w:sz w:val="22"/>
        </w:rPr>
        <w:t>：自动同步电子病历、手术记录、治疗记录、检查检验报告、术前术后影像对比资料、用药记录，所有医疗数据不可篡改、全程留痕。</w:t>
      </w:r>
    </w:p>
    <w:p w14:paraId="0E8DADDC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服务档案归集</w:t>
      </w:r>
      <w:r>
        <w:rPr>
          <w:rFonts w:ascii="Arial" w:hAnsi="Arial" w:eastAsia="等线" w:cs="Arial"/>
          <w:sz w:val="22"/>
        </w:rPr>
        <w:t>：完整记录每次咨询内容、面诊方案、执行项目、收费明细、优惠记录、回访记录、投诉建议、复诊记录，形成完整服务台账。</w:t>
      </w:r>
    </w:p>
    <w:p w14:paraId="3FCA1E02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客户分层标签</w:t>
      </w:r>
      <w:r>
        <w:rPr>
          <w:rFonts w:ascii="Arial" w:hAnsi="Arial" w:eastAsia="等线" w:cs="Arial"/>
          <w:sz w:val="22"/>
        </w:rPr>
        <w:t>：支持自定义公立合规标签，如新客/老客、手术类/轻医美项目、高风险项目、术后恢复期、待复诊、潜在需求客户等，支持精细化分类服务，禁止违规营销标签。</w:t>
      </w:r>
    </w:p>
    <w:p w14:paraId="196E9039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档案权限管控</w:t>
      </w:r>
      <w:r>
        <w:rPr>
          <w:rFonts w:ascii="Arial" w:hAnsi="Arial" w:eastAsia="等线" w:cs="Arial"/>
          <w:sz w:val="22"/>
        </w:rPr>
        <w:t>：严格分级查看权限，医护人员仅可查看本人接诊客户档案，管理员可全局统计，杜绝隐私泄露。</w:t>
      </w:r>
    </w:p>
    <w:p w14:paraId="7D7BE5BA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（二）合规咨询与面诊管理模块</w:t>
      </w:r>
      <w:bookmarkEnd w:id="5"/>
    </w:p>
    <w:p w14:paraId="7803DA2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规范医美咨询面诊流程，杜绝口头承诺、过度诊疗、违规宣传等公立医美红线问题，实现全程合规留痕。</w:t>
      </w:r>
    </w:p>
    <w:p w14:paraId="2BC7AF90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标准化面诊方案</w:t>
      </w:r>
      <w:r>
        <w:rPr>
          <w:rFonts w:ascii="Arial" w:hAnsi="Arial" w:eastAsia="等线" w:cs="Arial"/>
          <w:sz w:val="22"/>
        </w:rPr>
        <w:t>：内置公立医美合规项目库、标准化诊疗方案、禁忌症提示，医生/咨询师可一键调取，统一诊疗口径，避免个性化违规承诺。</w:t>
      </w:r>
    </w:p>
    <w:p w14:paraId="4FE8DC7E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咨询全程留痕</w:t>
      </w:r>
      <w:r>
        <w:rPr>
          <w:rFonts w:ascii="Arial" w:hAnsi="Arial" w:eastAsia="等线" w:cs="Arial"/>
          <w:sz w:val="22"/>
        </w:rPr>
        <w:t>：支持对接会话存档功能，完整留存医患沟通记录，设置敏感词预警（如绝对效果承诺、低价诱导、私下交易等），违规行为自动提醒、日志留存。</w:t>
      </w:r>
    </w:p>
    <w:p w14:paraId="66CFC79E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知情同意书电子化</w:t>
      </w:r>
      <w:r>
        <w:rPr>
          <w:rFonts w:ascii="Arial" w:hAnsi="Arial" w:eastAsia="等线" w:cs="Arial"/>
          <w:sz w:val="22"/>
        </w:rPr>
        <w:t>：支持各类医美手术、治疗项目知情同意书、风险告知书线上签署、电子归档，关联客户档案，可随时调阅追溯。</w:t>
      </w:r>
    </w:p>
    <w:p w14:paraId="75D46ADB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诊疗风险校验</w:t>
      </w:r>
      <w:r>
        <w:rPr>
          <w:rFonts w:ascii="Arial" w:hAnsi="Arial" w:eastAsia="等线" w:cs="Arial"/>
          <w:sz w:val="22"/>
        </w:rPr>
        <w:t>：系统自动识别客户过敏史、基础疾病、医美禁忌，高风险项目弹窗预警，需医生二次确认方可执行，规避医疗风险。</w:t>
      </w:r>
    </w:p>
    <w:p w14:paraId="0FE63E7B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（三）智能随访与术后服务模块</w:t>
      </w:r>
      <w:bookmarkEnd w:id="6"/>
    </w:p>
    <w:p w14:paraId="0CCC16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建立标准化、分项目、分周期的术后随访体系，解决公立医美术后服务薄弱、客户疑问无对接的痛点。</w:t>
      </w:r>
    </w:p>
    <w:p w14:paraId="7F268CA1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模板化随访配置</w:t>
      </w:r>
      <w:r>
        <w:rPr>
          <w:rFonts w:ascii="Arial" w:hAnsi="Arial" w:eastAsia="等线" w:cs="Arial"/>
          <w:sz w:val="22"/>
        </w:rPr>
        <w:t>：区分手术类、微创类、轻医美类项目，配置差异化随访模板，自动设置术后1天、3天、7天、1个月、3个月、半年等固定随访节点。</w:t>
      </w:r>
    </w:p>
    <w:p w14:paraId="6FABDC7E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智能自动提醒</w:t>
      </w:r>
      <w:r>
        <w:rPr>
          <w:rFonts w:ascii="Arial" w:hAnsi="Arial" w:eastAsia="等线" w:cs="Arial"/>
          <w:sz w:val="22"/>
        </w:rPr>
        <w:t>：系统自动向医护人员推送随访待办，支持合规短信、公众号、企业微信术后关怀推送，内容仅限医疗护理指导，无营销诱导内容。</w:t>
      </w:r>
    </w:p>
    <w:p w14:paraId="3250B3A1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随访结果归档</w:t>
      </w:r>
      <w:r>
        <w:rPr>
          <w:rFonts w:ascii="Arial" w:hAnsi="Arial" w:eastAsia="等线" w:cs="Arial"/>
          <w:sz w:val="22"/>
        </w:rPr>
        <w:t>：手动录入随访情况、客户反馈、术后恢复情况、异常问题记录，所有随访数据自动归入客户档案，作为质控考核依据。</w:t>
      </w:r>
    </w:p>
    <w:p w14:paraId="7A1F0FEF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异常问题预警</w:t>
      </w:r>
      <w:r>
        <w:rPr>
          <w:rFonts w:ascii="Arial" w:hAnsi="Arial" w:eastAsia="等线" w:cs="Arial"/>
          <w:sz w:val="22"/>
        </w:rPr>
        <w:t>：针对术后红肿、感染、不适反馈等异常情况，系统自动标记高危客户，提醒医护人员重点跟进，规避医疗纠纷。</w:t>
      </w:r>
    </w:p>
    <w:p w14:paraId="50E151C9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复诊预约管理</w:t>
      </w:r>
      <w:r>
        <w:rPr>
          <w:rFonts w:ascii="Arial" w:hAnsi="Arial" w:eastAsia="等线" w:cs="Arial"/>
          <w:sz w:val="22"/>
        </w:rPr>
        <w:t>：支持术后复诊提醒、线上预约登记，自动关联医生排班，实现复诊流程闭环管理。</w:t>
      </w:r>
    </w:p>
    <w:p w14:paraId="6CC956A8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（四）科室流程与物资管理模块</w:t>
      </w:r>
      <w:bookmarkEnd w:id="7"/>
    </w:p>
    <w:p w14:paraId="6760201B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诊疗流程管控</w:t>
      </w:r>
      <w:r>
        <w:rPr>
          <w:rFonts w:ascii="Arial" w:hAnsi="Arial" w:eastAsia="等线" w:cs="Arial"/>
          <w:sz w:val="22"/>
        </w:rPr>
        <w:t>：覆盖预约、接诊、面诊、缴费、治疗、手术、术后登记全流程，各环节状态实时更新，支持科室全程监控，杜绝流程遗漏。</w:t>
      </w:r>
    </w:p>
    <w:p w14:paraId="14B2CBE5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耗材库存管理</w:t>
      </w:r>
      <w:r>
        <w:rPr>
          <w:rFonts w:ascii="Arial" w:hAnsi="Arial" w:eastAsia="等线" w:cs="Arial"/>
          <w:sz w:val="22"/>
        </w:rPr>
        <w:t>：适配医美专属耗材、药品、器械管理，支持入库、出库、盘点、效期预警、耗材关联诊疗项目使用记录，实现耗材溯源管理，契合院感与物资管控要求。</w:t>
      </w:r>
    </w:p>
    <w:p w14:paraId="7741468D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排班与接诊管理</w:t>
      </w:r>
      <w:r>
        <w:rPr>
          <w:rFonts w:ascii="Arial" w:hAnsi="Arial" w:eastAsia="等线" w:cs="Arial"/>
          <w:sz w:val="22"/>
        </w:rPr>
        <w:t>：支持医生、护士排班录入，自动匹配接诊人员，统计个人接诊量、服务量，作为科室绩效考核依据。</w:t>
      </w:r>
    </w:p>
    <w:p w14:paraId="57F67DF6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（五）数据统计与运营分析模块</w:t>
      </w:r>
      <w:bookmarkEnd w:id="8"/>
    </w:p>
    <w:p w14:paraId="5F6F55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聚焦公立医美</w:t>
      </w:r>
      <w:r>
        <w:rPr>
          <w:rFonts w:ascii="Arial" w:hAnsi="Arial" w:eastAsia="等线" w:cs="Arial"/>
          <w:b/>
          <w:sz w:val="22"/>
        </w:rPr>
        <w:t>质控、服务、运营</w:t>
      </w:r>
      <w:r>
        <w:rPr>
          <w:rFonts w:ascii="Arial" w:hAnsi="Arial" w:eastAsia="等线" w:cs="Arial"/>
          <w:sz w:val="22"/>
        </w:rPr>
        <w:t>，杜绝商业化营销统计，输出合规可视化报表。</w:t>
      </w:r>
    </w:p>
    <w:p w14:paraId="4DCBC4CC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诊疗数据统计</w:t>
      </w:r>
      <w:r>
        <w:rPr>
          <w:rFonts w:ascii="Arial" w:hAnsi="Arial" w:eastAsia="等线" w:cs="Arial"/>
          <w:sz w:val="22"/>
        </w:rPr>
        <w:t>：接诊总量、各项目诊疗量、手术量、轻医美治疗量、复诊率、异常病例统计。</w:t>
      </w:r>
    </w:p>
    <w:p w14:paraId="60084314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服务质量统计</w:t>
      </w:r>
      <w:r>
        <w:rPr>
          <w:rFonts w:ascii="Arial" w:hAnsi="Arial" w:eastAsia="等线" w:cs="Arial"/>
          <w:sz w:val="22"/>
        </w:rPr>
        <w:t>：随访完成率、客户满意度、投诉问题分类统计、术后异常发生率。</w:t>
      </w:r>
    </w:p>
    <w:p w14:paraId="1C52C13B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人员绩效统计</w:t>
      </w:r>
      <w:r>
        <w:rPr>
          <w:rFonts w:ascii="Arial" w:hAnsi="Arial" w:eastAsia="等线" w:cs="Arial"/>
          <w:sz w:val="22"/>
        </w:rPr>
        <w:t>：医护人员接诊量、随访完成率、病例完成质量，支持导出报表用于科室考核。</w:t>
      </w:r>
    </w:p>
    <w:p w14:paraId="34CB69A4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可视化大屏</w:t>
      </w:r>
      <w:r>
        <w:rPr>
          <w:rFonts w:ascii="Arial" w:hAnsi="Arial" w:eastAsia="等线" w:cs="Arial"/>
          <w:sz w:val="22"/>
        </w:rPr>
        <w:t>：科室管理员可实时查看科室运营、质控、服务数据，支持按月/季/年汇总分析，为科室管理、决策、汇报提供数据支撑。</w:t>
      </w:r>
    </w:p>
    <w:p w14:paraId="5F407833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（六）移动端配套模块</w:t>
      </w:r>
      <w:bookmarkEnd w:id="9"/>
    </w:p>
    <w:p w14:paraId="04817D6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适配医护人员移动办公需求，兼顾便捷性与安全性，仅开放合规操作权限。</w:t>
      </w:r>
    </w:p>
    <w:p w14:paraId="101339C5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支持手机端查看客户档案、接收随访提醒、完成随访登记、查看待办工作、接收异常预警通知。</w:t>
      </w:r>
    </w:p>
    <w:p w14:paraId="09F7741F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移动端数据全程加密，操作日志留存，禁止私自导出、转发客户隐私数据，保障数据安全。</w:t>
      </w:r>
    </w:p>
    <w:p w14:paraId="78377957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（七）系统权限与安全管理模块</w:t>
      </w:r>
      <w:bookmarkEnd w:id="10"/>
    </w:p>
    <w:p w14:paraId="5B7A6036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多级权限体系</w:t>
      </w:r>
      <w:r>
        <w:rPr>
          <w:rFonts w:ascii="Arial" w:hAnsi="Arial" w:eastAsia="等线" w:cs="Arial"/>
          <w:sz w:val="22"/>
        </w:rPr>
        <w:t>：超级管理员、科室主任、医生、护士、咨询师、普通员工分级授权，不同角色仅可操作对应权限内容，最小权限原则管控。</w:t>
      </w:r>
    </w:p>
    <w:p w14:paraId="302C75A0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全量操作审计</w:t>
      </w:r>
      <w:r>
        <w:rPr>
          <w:rFonts w:ascii="Arial" w:hAnsi="Arial" w:eastAsia="等线" w:cs="Arial"/>
          <w:sz w:val="22"/>
        </w:rPr>
        <w:t>：所有登录、查看、修改、导出、删除操作全程记录日志，永久留存，支持溯源核查，满足监管审计要求。</w:t>
      </w:r>
    </w:p>
    <w:p w14:paraId="35E0D1AB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数据加密防护</w:t>
      </w:r>
      <w:r>
        <w:rPr>
          <w:rFonts w:ascii="Arial" w:hAnsi="Arial" w:eastAsia="等线" w:cs="Arial"/>
          <w:sz w:val="22"/>
        </w:rPr>
        <w:t>：客户隐私信息、医疗数据加密存储，传输过程加密，禁止明文泄露，符合个人信息保护相关法规。</w:t>
      </w:r>
    </w:p>
    <w:p w14:paraId="6620F3CD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数据备份恢复</w:t>
      </w:r>
      <w:r>
        <w:rPr>
          <w:rFonts w:ascii="Arial" w:hAnsi="Arial" w:eastAsia="等线" w:cs="Arial"/>
          <w:sz w:val="22"/>
        </w:rPr>
        <w:t>：支持自动定时备份、手动备份，具备数据故障快速恢复能力，杜绝数据丢失。</w:t>
      </w:r>
    </w:p>
    <w:p w14:paraId="79AA0317">
      <w:pPr>
        <w:spacing w:before="320" w:after="120" w:line="288" w:lineRule="auto"/>
        <w:ind w:left="0"/>
        <w:jc w:val="left"/>
        <w:outlineLvl w:val="1"/>
      </w:pPr>
      <w:bookmarkStart w:id="11" w:name="heading_11"/>
      <w:r>
        <w:rPr>
          <w:rFonts w:ascii="Arial" w:hAnsi="Arial" w:eastAsia="等线" w:cs="Arial"/>
          <w:b/>
          <w:sz w:val="32"/>
        </w:rPr>
        <w:t>五、系统对接适配需求（关键硬性要求）</w:t>
      </w:r>
      <w:bookmarkEnd w:id="11"/>
    </w:p>
    <w:p w14:paraId="0CC1C49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系统必须实现与医院现有信息化系统无缝对接，数据双向同步，完全融入院内医疗体系，杜绝数据孤岛。</w:t>
      </w:r>
    </w:p>
    <w:p w14:paraId="1FD1FA18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HIS系统对接</w:t>
      </w:r>
      <w:r>
        <w:rPr>
          <w:rFonts w:ascii="Arial" w:hAnsi="Arial" w:eastAsia="等线" w:cs="Arial"/>
          <w:sz w:val="22"/>
        </w:rPr>
        <w:t>：同步患者挂号信息、患者基础信息、收费项目、缴费记录，医美诊疗数据同步回传HIS归档。</w:t>
      </w:r>
    </w:p>
    <w:p w14:paraId="218DD275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EMR电子病历对接</w:t>
      </w:r>
      <w:r>
        <w:rPr>
          <w:rFonts w:ascii="Arial" w:hAnsi="Arial" w:eastAsia="等线" w:cs="Arial"/>
          <w:sz w:val="22"/>
        </w:rPr>
        <w:t>：医美专属病历、手术记录、术后记录双向同步，支持院内统一病历检索、质控核查。</w:t>
      </w:r>
    </w:p>
    <w:p w14:paraId="6B71A852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LIS检验、PACS影像对接</w:t>
      </w:r>
      <w:r>
        <w:rPr>
          <w:rFonts w:ascii="Arial" w:hAnsi="Arial" w:eastAsia="等线" w:cs="Arial"/>
          <w:sz w:val="22"/>
        </w:rPr>
        <w:t>：自动同步客户检查、检验、术前术后影像资料，无需重复上传，支持系统内直接调阅。</w:t>
      </w:r>
    </w:p>
    <w:p w14:paraId="56953870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院级质控系统对接</w:t>
      </w:r>
      <w:r>
        <w:rPr>
          <w:rFonts w:ascii="Arial" w:hAnsi="Arial" w:eastAsia="等线" w:cs="Arial"/>
          <w:sz w:val="22"/>
        </w:rPr>
        <w:t>：支持医美诊疗合规数据、随访数据、不良事件数据同步上报，满足院内质控考核需求。</w:t>
      </w:r>
    </w:p>
    <w:p w14:paraId="62396BC3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数据兼容迁移</w:t>
      </w:r>
      <w:r>
        <w:rPr>
          <w:rFonts w:ascii="Arial" w:hAnsi="Arial" w:eastAsia="等线" w:cs="Arial"/>
          <w:sz w:val="22"/>
        </w:rPr>
        <w:t>：支持科室原有Excel历史客户数据、纸质档案电子化批量迁移，保障数据完整延续。</w:t>
      </w:r>
    </w:p>
    <w:p w14:paraId="2154B237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六、合规与风控专项要求</w:t>
      </w:r>
      <w:bookmarkEnd w:id="12"/>
    </w:p>
    <w:p w14:paraId="2CA8EF3E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医疗合规</w:t>
      </w:r>
      <w:r>
        <w:rPr>
          <w:rFonts w:ascii="Arial" w:hAnsi="Arial" w:eastAsia="等线" w:cs="Arial"/>
          <w:sz w:val="22"/>
        </w:rPr>
        <w:t>：所有诊疗流程、病历文书、知情告知完全符合《医疗美容服务管理办法》，支持卫健部门抽查、溯源、上报。</w:t>
      </w:r>
    </w:p>
    <w:p w14:paraId="11D9684A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隐私合规</w:t>
      </w:r>
      <w:r>
        <w:rPr>
          <w:rFonts w:ascii="Arial" w:hAnsi="Arial" w:eastAsia="等线" w:cs="Arial"/>
          <w:sz w:val="22"/>
        </w:rPr>
        <w:t>：严格落实个人信息保护要求，禁止违规采集、滥用客户信息，无过度营销功能，仅保留医疗服务、术后关怀合规触达能力。</w:t>
      </w:r>
    </w:p>
    <w:p w14:paraId="0E5178BB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行为风控</w:t>
      </w:r>
      <w:r>
        <w:rPr>
          <w:rFonts w:ascii="Arial" w:hAnsi="Arial" w:eastAsia="等线" w:cs="Arial"/>
          <w:sz w:val="22"/>
        </w:rPr>
        <w:t>：医患沟通全程存档，违规话术、违规操作自动预警，杜绝夸大宣传、私下收费、过度诊疗等违规行为。</w:t>
      </w:r>
    </w:p>
    <w:p w14:paraId="4F402C74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数据合规</w:t>
      </w:r>
      <w:r>
        <w:rPr>
          <w:rFonts w:ascii="Arial" w:hAnsi="Arial" w:eastAsia="等线" w:cs="Arial"/>
          <w:sz w:val="22"/>
        </w:rPr>
        <w:t>：所有医疗数据留存期限符合医疗机构档案管理标准，可随时导出归档，满足审计、核查需求。</w:t>
      </w:r>
    </w:p>
    <w:p w14:paraId="047F69FC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b/>
          <w:sz w:val="32"/>
        </w:rPr>
        <w:t>七、性能与运维需求</w:t>
      </w:r>
      <w:bookmarkEnd w:id="13"/>
    </w:p>
    <w:p w14:paraId="11656AC8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系统性能</w:t>
      </w:r>
      <w:r>
        <w:rPr>
          <w:rFonts w:ascii="Arial" w:hAnsi="Arial" w:eastAsia="等线" w:cs="Arial"/>
          <w:sz w:val="22"/>
        </w:rPr>
        <w:t>：响应速度快，支持多用户同时在线操作，高峰期无卡顿、无崩溃，数据同步延迟低。</w:t>
      </w:r>
    </w:p>
    <w:p w14:paraId="5EDB64BB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可扩展性</w:t>
      </w:r>
      <w:r>
        <w:rPr>
          <w:rFonts w:ascii="Arial" w:hAnsi="Arial" w:eastAsia="等线" w:cs="Arial"/>
          <w:sz w:val="22"/>
        </w:rPr>
        <w:t>：模块化架构，支持后续新增项目、新增功能、对接上级监管平台，适配科室长期发展。</w:t>
      </w:r>
    </w:p>
    <w:p w14:paraId="5CA72FB6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运维服务</w:t>
      </w:r>
      <w:r>
        <w:rPr>
          <w:rFonts w:ascii="Arial" w:hAnsi="Arial" w:eastAsia="等线" w:cs="Arial"/>
          <w:sz w:val="22"/>
        </w:rPr>
        <w:t>：提供部署安装、数据迁移、人员培训、日常运维、故障应急处理服务，定期版本更新、漏洞修复。</w:t>
      </w:r>
    </w:p>
    <w:p w14:paraId="28C30BD7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培训支撑</w:t>
      </w:r>
      <w:r>
        <w:rPr>
          <w:rFonts w:ascii="Arial" w:hAnsi="Arial" w:eastAsia="等线" w:cs="Arial"/>
          <w:sz w:val="22"/>
        </w:rPr>
        <w:t>：针对科室医护、管理、操作人员开展专项培训，确保全员熟练使用系统功能。</w:t>
      </w:r>
    </w:p>
    <w:p w14:paraId="56F42150">
      <w:pPr>
        <w:spacing w:before="320" w:after="120" w:line="288" w:lineRule="auto"/>
        <w:ind w:left="0"/>
        <w:jc w:val="left"/>
        <w:outlineLvl w:val="1"/>
      </w:pPr>
      <w:bookmarkStart w:id="14" w:name="heading_14"/>
      <w:r>
        <w:rPr>
          <w:rFonts w:ascii="Arial" w:hAnsi="Arial" w:eastAsia="等线" w:cs="Arial"/>
          <w:b/>
          <w:sz w:val="32"/>
        </w:rPr>
        <w:t>八、项目建设预期成效</w:t>
      </w:r>
      <w:bookmarkEnd w:id="14"/>
    </w:p>
    <w:p w14:paraId="307A009F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合规风控升级</w:t>
      </w:r>
      <w:r>
        <w:rPr>
          <w:rFonts w:ascii="Arial" w:hAnsi="Arial" w:eastAsia="等线" w:cs="Arial"/>
          <w:sz w:val="22"/>
        </w:rPr>
        <w:t>：实现医美诊疗全流程标准化、痕迹化，彻底解决公立医美合规薄弱、追溯困难的问题，降低医疗纠纷与监管处罚风险。</w:t>
      </w:r>
    </w:p>
    <w:p w14:paraId="445A923A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服务质量提升</w:t>
      </w:r>
      <w:r>
        <w:rPr>
          <w:rFonts w:ascii="Arial" w:hAnsi="Arial" w:eastAsia="等线" w:cs="Arial"/>
          <w:sz w:val="22"/>
        </w:rPr>
        <w:t>：标准化术后随访、精细化客户管理，补齐公立医美服务短板，提升客户满意度与科室品牌口碑。</w:t>
      </w:r>
    </w:p>
    <w:p w14:paraId="7006F17A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管理效率提升</w:t>
      </w:r>
      <w:r>
        <w:rPr>
          <w:rFonts w:ascii="Arial" w:hAnsi="Arial" w:eastAsia="等线" w:cs="Arial"/>
          <w:sz w:val="22"/>
        </w:rPr>
        <w:t>：减少人工登记、统计、归档工作量，实现流程自动化、数据智能化，降低人力成本。</w:t>
      </w:r>
    </w:p>
    <w:p w14:paraId="3EF23746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数据决策赋能</w:t>
      </w:r>
      <w:r>
        <w:rPr>
          <w:rFonts w:ascii="Arial" w:hAnsi="Arial" w:eastAsia="等线" w:cs="Arial"/>
          <w:sz w:val="22"/>
        </w:rPr>
        <w:t>：精准沉淀科室诊疗、服务、质控数据，为科室运营优化、质控整改、学科建设提供数据支撑。</w:t>
      </w:r>
    </w:p>
    <w:p w14:paraId="381DB1C6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隐私安全保障</w:t>
      </w:r>
      <w:r>
        <w:rPr>
          <w:rFonts w:ascii="Arial" w:hAnsi="Arial" w:eastAsia="等线" w:cs="Arial"/>
          <w:sz w:val="22"/>
        </w:rPr>
        <w:t>：系统化、制度化管控客户与医疗数据，彻底规避隐私泄露风险，符合法律法规与院内管理要求。</w:t>
      </w:r>
      <w:bookmarkStart w:id="15" w:name="_GoBack"/>
      <w:bookmarkEnd w:id="15"/>
    </w:p>
    <w:p w14:paraId="22523FD5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0622C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54C0C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8">
    <w:nsid w:val="B0F1ACD9"/>
    <w:multiLevelType w:val="singleLevel"/>
    <w:tmpl w:val="B0F1ACD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9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0">
    <w:nsid w:val="B8CEF35B"/>
    <w:multiLevelType w:val="singleLevel"/>
    <w:tmpl w:val="B8CEF35B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1">
    <w:nsid w:val="BB64CFA9"/>
    <w:multiLevelType w:val="singleLevel"/>
    <w:tmpl w:val="BB64CFA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2">
    <w:nsid w:val="BE923771"/>
    <w:multiLevelType w:val="singleLevel"/>
    <w:tmpl w:val="BE923771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3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4">
    <w:nsid w:val="C8879AEF"/>
    <w:multiLevelType w:val="singleLevel"/>
    <w:tmpl w:val="C8879AE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5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6">
    <w:nsid w:val="D7D140E4"/>
    <w:multiLevelType w:val="singleLevel"/>
    <w:tmpl w:val="D7D140E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7">
    <w:nsid w:val="D7F9FE59"/>
    <w:multiLevelType w:val="singleLevel"/>
    <w:tmpl w:val="D7F9FE5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8">
    <w:nsid w:val="DCBA6B53"/>
    <w:multiLevelType w:val="singleLevel"/>
    <w:tmpl w:val="DCBA6B53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9">
    <w:nsid w:val="E093A4B0"/>
    <w:multiLevelType w:val="singleLevel"/>
    <w:tmpl w:val="E093A4B0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0">
    <w:nsid w:val="F4B5D9F5"/>
    <w:multiLevelType w:val="singleLevel"/>
    <w:tmpl w:val="F4B5D9F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1">
    <w:nsid w:val="F7735DC9"/>
    <w:multiLevelType w:val="singleLevel"/>
    <w:tmpl w:val="F7735DC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2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3">
    <w:nsid w:val="0248C179"/>
    <w:multiLevelType w:val="singleLevel"/>
    <w:tmpl w:val="0248C179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24">
    <w:nsid w:val="03D62ECE"/>
    <w:multiLevelType w:val="singleLevel"/>
    <w:tmpl w:val="03D62EC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5">
    <w:nsid w:val="0709FD3E"/>
    <w:multiLevelType w:val="singleLevel"/>
    <w:tmpl w:val="0709FD3E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6">
    <w:nsid w:val="0CEF100B"/>
    <w:multiLevelType w:val="singleLevel"/>
    <w:tmpl w:val="0CEF100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7">
    <w:nsid w:val="0E640482"/>
    <w:multiLevelType w:val="singleLevel"/>
    <w:tmpl w:val="0E64048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8">
    <w:nsid w:val="1ACDE60F"/>
    <w:multiLevelType w:val="singleLevel"/>
    <w:tmpl w:val="1ACDE60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9">
    <w:nsid w:val="243FCF68"/>
    <w:multiLevelType w:val="singleLevel"/>
    <w:tmpl w:val="243FCF6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0">
    <w:nsid w:val="2470EC97"/>
    <w:multiLevelType w:val="singleLevel"/>
    <w:tmpl w:val="2470EC9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1">
    <w:nsid w:val="25B654F3"/>
    <w:multiLevelType w:val="singleLevel"/>
    <w:tmpl w:val="25B654F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2">
    <w:nsid w:val="2A8F537B"/>
    <w:multiLevelType w:val="singleLevel"/>
    <w:tmpl w:val="2A8F537B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33">
    <w:nsid w:val="30FC5B15"/>
    <w:multiLevelType w:val="singleLevel"/>
    <w:tmpl w:val="30FC5B1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4">
    <w:nsid w:val="322D85CA"/>
    <w:multiLevelType w:val="singleLevel"/>
    <w:tmpl w:val="322D85C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5">
    <w:nsid w:val="32A7AF2D"/>
    <w:multiLevelType w:val="singleLevel"/>
    <w:tmpl w:val="32A7AF2D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36">
    <w:nsid w:val="39A0D9AC"/>
    <w:multiLevelType w:val="singleLevel"/>
    <w:tmpl w:val="39A0D9AC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7">
    <w:nsid w:val="46A08BB8"/>
    <w:multiLevelType w:val="singleLevel"/>
    <w:tmpl w:val="46A08BB8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8">
    <w:nsid w:val="4C1BAE26"/>
    <w:multiLevelType w:val="singleLevel"/>
    <w:tmpl w:val="4C1BAE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9">
    <w:nsid w:val="4C3D7A74"/>
    <w:multiLevelType w:val="singleLevel"/>
    <w:tmpl w:val="4C3D7A7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0">
    <w:nsid w:val="4D4DC07F"/>
    <w:multiLevelType w:val="singleLevel"/>
    <w:tmpl w:val="4D4DC07F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1">
    <w:nsid w:val="4D94DA66"/>
    <w:multiLevelType w:val="singleLevel"/>
    <w:tmpl w:val="4D94DA6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2">
    <w:nsid w:val="58765686"/>
    <w:multiLevelType w:val="singleLevel"/>
    <w:tmpl w:val="5876568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3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4">
    <w:nsid w:val="5A241D34"/>
    <w:multiLevelType w:val="singleLevel"/>
    <w:tmpl w:val="5A241D3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5">
    <w:nsid w:val="5E29AB5A"/>
    <w:multiLevelType w:val="singleLevel"/>
    <w:tmpl w:val="5E29AB5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6">
    <w:nsid w:val="5FFFB1A7"/>
    <w:multiLevelType w:val="singleLevel"/>
    <w:tmpl w:val="5FFFB1A7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7">
    <w:nsid w:val="60382F6E"/>
    <w:multiLevelType w:val="singleLevel"/>
    <w:tmpl w:val="60382F6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8">
    <w:nsid w:val="629F7852"/>
    <w:multiLevelType w:val="singleLevel"/>
    <w:tmpl w:val="629F7852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9">
    <w:nsid w:val="65CD0074"/>
    <w:multiLevelType w:val="singleLevel"/>
    <w:tmpl w:val="65CD007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0">
    <w:nsid w:val="72183CF9"/>
    <w:multiLevelType w:val="singleLevel"/>
    <w:tmpl w:val="72183CF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1">
    <w:nsid w:val="74C28B35"/>
    <w:multiLevelType w:val="singleLevel"/>
    <w:tmpl w:val="74C28B3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2">
    <w:nsid w:val="77ECEA79"/>
    <w:multiLevelType w:val="singleLevel"/>
    <w:tmpl w:val="77ECEA79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3">
    <w:nsid w:val="79AA4FA4"/>
    <w:multiLevelType w:val="singleLevel"/>
    <w:tmpl w:val="79AA4FA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4">
    <w:nsid w:val="7C246926"/>
    <w:multiLevelType w:val="singleLevel"/>
    <w:tmpl w:val="7C246926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5">
    <w:nsid w:val="7DEC2089"/>
    <w:multiLevelType w:val="singleLevel"/>
    <w:tmpl w:val="7DEC2089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22"/>
  </w:num>
  <w:num w:numId="2">
    <w:abstractNumId w:val="15"/>
  </w:num>
  <w:num w:numId="3">
    <w:abstractNumId w:val="43"/>
  </w:num>
  <w:num w:numId="4">
    <w:abstractNumId w:val="13"/>
  </w:num>
  <w:num w:numId="5">
    <w:abstractNumId w:val="9"/>
  </w:num>
  <w:num w:numId="6">
    <w:abstractNumId w:val="24"/>
  </w:num>
  <w:num w:numId="7">
    <w:abstractNumId w:val="31"/>
  </w:num>
  <w:num w:numId="8">
    <w:abstractNumId w:val="50"/>
  </w:num>
  <w:num w:numId="9">
    <w:abstractNumId w:val="23"/>
  </w:num>
  <w:num w:numId="10">
    <w:abstractNumId w:val="5"/>
  </w:num>
  <w:num w:numId="11">
    <w:abstractNumId w:val="32"/>
  </w:num>
  <w:num w:numId="12">
    <w:abstractNumId w:val="44"/>
  </w:num>
  <w:num w:numId="13">
    <w:abstractNumId w:val="14"/>
  </w:num>
  <w:num w:numId="14">
    <w:abstractNumId w:val="40"/>
  </w:num>
  <w:num w:numId="15">
    <w:abstractNumId w:val="20"/>
  </w:num>
  <w:num w:numId="16">
    <w:abstractNumId w:val="30"/>
  </w:num>
  <w:num w:numId="17">
    <w:abstractNumId w:val="18"/>
  </w:num>
  <w:num w:numId="18">
    <w:abstractNumId w:val="17"/>
  </w:num>
  <w:num w:numId="19">
    <w:abstractNumId w:val="7"/>
  </w:num>
  <w:num w:numId="20">
    <w:abstractNumId w:val="38"/>
  </w:num>
  <w:num w:numId="21">
    <w:abstractNumId w:val="47"/>
  </w:num>
  <w:num w:numId="22">
    <w:abstractNumId w:val="27"/>
  </w:num>
  <w:num w:numId="23">
    <w:abstractNumId w:val="37"/>
  </w:num>
  <w:num w:numId="24">
    <w:abstractNumId w:val="8"/>
  </w:num>
  <w:num w:numId="25">
    <w:abstractNumId w:val="54"/>
  </w:num>
  <w:num w:numId="26">
    <w:abstractNumId w:val="52"/>
  </w:num>
  <w:num w:numId="27">
    <w:abstractNumId w:val="12"/>
  </w:num>
  <w:num w:numId="28">
    <w:abstractNumId w:val="48"/>
  </w:num>
  <w:num w:numId="29">
    <w:abstractNumId w:val="6"/>
  </w:num>
  <w:num w:numId="30">
    <w:abstractNumId w:val="36"/>
  </w:num>
  <w:num w:numId="31">
    <w:abstractNumId w:val="2"/>
  </w:num>
  <w:num w:numId="32">
    <w:abstractNumId w:val="42"/>
  </w:num>
  <w:num w:numId="33">
    <w:abstractNumId w:val="55"/>
  </w:num>
  <w:num w:numId="34">
    <w:abstractNumId w:val="0"/>
  </w:num>
  <w:num w:numId="35">
    <w:abstractNumId w:val="29"/>
  </w:num>
  <w:num w:numId="36">
    <w:abstractNumId w:val="41"/>
  </w:num>
  <w:num w:numId="37">
    <w:abstractNumId w:val="21"/>
  </w:num>
  <w:num w:numId="38">
    <w:abstractNumId w:val="19"/>
  </w:num>
  <w:num w:numId="39">
    <w:abstractNumId w:val="33"/>
  </w:num>
  <w:num w:numId="40">
    <w:abstractNumId w:val="53"/>
  </w:num>
  <w:num w:numId="41">
    <w:abstractNumId w:val="11"/>
  </w:num>
  <w:num w:numId="42">
    <w:abstractNumId w:val="4"/>
  </w:num>
  <w:num w:numId="43">
    <w:abstractNumId w:val="10"/>
  </w:num>
  <w:num w:numId="44">
    <w:abstractNumId w:val="45"/>
  </w:num>
  <w:num w:numId="45">
    <w:abstractNumId w:val="1"/>
  </w:num>
  <w:num w:numId="46">
    <w:abstractNumId w:val="28"/>
  </w:num>
  <w:num w:numId="47">
    <w:abstractNumId w:val="3"/>
  </w:num>
  <w:num w:numId="48">
    <w:abstractNumId w:val="46"/>
  </w:num>
  <w:num w:numId="49">
    <w:abstractNumId w:val="51"/>
  </w:num>
  <w:num w:numId="50">
    <w:abstractNumId w:val="39"/>
  </w:num>
  <w:num w:numId="51">
    <w:abstractNumId w:val="34"/>
  </w:num>
  <w:num w:numId="52">
    <w:abstractNumId w:val="49"/>
  </w:num>
  <w:num w:numId="53">
    <w:abstractNumId w:val="25"/>
  </w:num>
  <w:num w:numId="54">
    <w:abstractNumId w:val="26"/>
  </w:num>
  <w:num w:numId="55">
    <w:abstractNumId w:val="16"/>
  </w:num>
  <w:num w:numId="5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33911E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3879</Words>
  <Characters>3903</Characters>
  <TotalTime>1</TotalTime>
  <ScaleCrop>false</ScaleCrop>
  <LinksUpToDate>false</LinksUpToDate>
  <CharactersWithSpaces>3905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2026-08-21T01:19:00Z</dcterms:created>
  <dc:creator>Apache POI</dc:creator>
  <cp:lastModifiedBy>靖雅</cp:lastModifiedBy>
  <dcterms:modified xsi:type="dcterms:W3CDTF">2026-08-21T01:20:24Z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{"Label":"1","ContentProducer":"001191110102MACQD9K64010000","ProduceID":"7676288337271475387","ReservedCode1":"","ContentPropagator":"","PropagateID":"","ReservedCode2":""}</vt:lpwstr>
  </property>
  <property fmtid="{D5CDD505-2E9C-101B-9397-08002B2CF9AE}" pid="3" name="KSOTemplateDocerSaveRecord">
    <vt:lpwstr>eyJoZGlkIjoiNThiOTZmNzAxODQwOTE1NWI1Y2NiNjhiOWE3MmMxYTMiLCJ1c2VySWQiOiIyNzcwNDkyNTUifQ==</vt:lpwstr>
  </property>
  <property fmtid="{D5CDD505-2E9C-101B-9397-08002B2CF9AE}" pid="4" name="KSOProductBuildVer">
    <vt:lpwstr>2052-12.1.0.25225</vt:lpwstr>
  </property>
  <property fmtid="{D5CDD505-2E9C-101B-9397-08002B2CF9AE}" pid="5" name="ICV">
    <vt:lpwstr>B60D92C85211422292E90E6C3FD56238_12</vt:lpwstr>
  </property>
</Properties>
</file>