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0" w:after="120" w:line="288" w:lineRule="auto"/>
        <w:jc w:val="center"/>
        <w:outlineLvl w:val="1"/>
        <w:rPr>
          <w:rFonts w:hint="eastAsia" w:ascii="Arial" w:hAnsi="Arial" w:eastAsia="等线" w:cs="Arial"/>
          <w:b/>
          <w:sz w:val="36"/>
          <w:szCs w:val="24"/>
          <w:lang w:eastAsia="zh-CN"/>
        </w:rPr>
      </w:pPr>
      <w:r>
        <w:rPr>
          <w:rFonts w:hint="eastAsia" w:ascii="Arial" w:hAnsi="Arial" w:eastAsia="等线" w:cs="Arial"/>
          <w:b/>
          <w:sz w:val="36"/>
          <w:szCs w:val="24"/>
        </w:rPr>
        <w:t>供应室</w:t>
      </w:r>
      <w:r>
        <w:rPr>
          <w:rFonts w:ascii="Arial" w:hAnsi="Arial" w:eastAsia="等线" w:cs="Arial"/>
          <w:b/>
          <w:sz w:val="36"/>
          <w:szCs w:val="24"/>
        </w:rPr>
        <w:t>立式管道泵</w:t>
      </w:r>
      <w:r>
        <w:rPr>
          <w:rFonts w:hint="eastAsia" w:ascii="Arial" w:hAnsi="Arial" w:eastAsia="等线" w:cs="Arial"/>
          <w:b/>
          <w:sz w:val="36"/>
          <w:szCs w:val="24"/>
          <w:lang w:eastAsia="zh-CN"/>
        </w:rPr>
        <w:t>项目需求</w:t>
      </w:r>
    </w:p>
    <w:p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采购用途：</w:t>
      </w:r>
      <w:r>
        <w:rPr>
          <w:rFonts w:ascii="Arial" w:hAnsi="Arial" w:eastAsia="等线" w:cs="Arial"/>
          <w:sz w:val="22"/>
        </w:rPr>
        <w:t>设备替换</w:t>
      </w:r>
    </w:p>
    <w:p>
      <w:p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采购数量：</w:t>
      </w:r>
      <w:r>
        <w:rPr>
          <w:rFonts w:ascii="Arial" w:hAnsi="Arial" w:eastAsia="等线" w:cs="Arial"/>
          <w:sz w:val="22"/>
        </w:rPr>
        <w:t>1台</w:t>
      </w:r>
    </w:p>
    <w:p>
      <w:p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预算金额：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2000</w:t>
      </w:r>
      <w:r>
        <w:rPr>
          <w:rFonts w:ascii="Arial" w:hAnsi="Arial" w:eastAsia="等线" w:cs="Arial"/>
          <w:sz w:val="22"/>
        </w:rPr>
        <w:t>元</w:t>
      </w:r>
    </w:p>
    <w:p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期望到货时间：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>1周</w:t>
      </w:r>
    </w:p>
    <w:p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一、采购产品及核心参数要求</w:t>
      </w:r>
      <w:bookmarkEnd w:id="0"/>
    </w:p>
    <w:p>
      <w:pPr>
        <w:spacing w:before="120" w:after="120" w:line="288" w:lineRule="auto"/>
        <w:jc w:val="left"/>
        <w:rPr>
          <w:rFonts w:hint="eastAsia" w:eastAsia="等线"/>
          <w:highlight w:val="yellow"/>
          <w:lang w:eastAsia="zh-CN"/>
        </w:rPr>
      </w:pPr>
      <w:r>
        <w:rPr>
          <w:rFonts w:ascii="Arial" w:hAnsi="Arial" w:eastAsia="等线" w:cs="Arial"/>
          <w:sz w:val="22"/>
        </w:rPr>
        <w:t>采购产品：立式单级单吸离心式管道泵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（</w:t>
      </w:r>
      <w:r>
        <w:rPr>
          <w:rFonts w:hint="eastAsia" w:ascii="Arial" w:hAnsi="Arial" w:eastAsia="等线" w:cs="Arial"/>
          <w:sz w:val="22"/>
          <w:highlight w:val="yellow"/>
        </w:rPr>
        <w:t>含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管道泵</w:t>
      </w:r>
      <w:r>
        <w:rPr>
          <w:rFonts w:hint="eastAsia" w:ascii="Arial" w:hAnsi="Arial" w:eastAsia="等线" w:cs="Arial"/>
          <w:sz w:val="22"/>
          <w:highlight w:val="yellow"/>
        </w:rPr>
        <w:t>的拆除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，</w:t>
      </w:r>
      <w:r>
        <w:rPr>
          <w:rFonts w:hint="eastAsia" w:ascii="Arial" w:hAnsi="Arial" w:eastAsia="等线" w:cs="Arial"/>
          <w:sz w:val="22"/>
          <w:highlight w:val="yellow"/>
        </w:rPr>
        <w:t>搬运至采购人指定地点和新的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管道泵</w:t>
      </w:r>
      <w:r>
        <w:rPr>
          <w:rFonts w:hint="eastAsia" w:ascii="Arial" w:hAnsi="Arial" w:eastAsia="等线" w:cs="Arial"/>
          <w:sz w:val="22"/>
          <w:highlight w:val="yellow"/>
        </w:rPr>
        <w:t>的更换、安装、调试</w:t>
      </w:r>
      <w:r>
        <w:rPr>
          <w:rFonts w:ascii="Arial" w:hAnsi="Arial" w:eastAsia="等线" w:cs="Arial"/>
          <w:sz w:val="22"/>
          <w:highlight w:val="yellow"/>
        </w:rPr>
        <w:t>并恢复原貌</w:t>
      </w:r>
      <w:r>
        <w:rPr>
          <w:rFonts w:hint="eastAsia" w:ascii="Arial" w:hAnsi="Arial" w:eastAsia="等线" w:cs="Arial"/>
          <w:sz w:val="22"/>
          <w:highlight w:val="yellow"/>
        </w:rPr>
        <w:t>（包含辅材等）,以及在安装过程中产生的垃圾清运等各项工作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）</w:t>
      </w:r>
      <w:r>
        <w:rPr>
          <w:rFonts w:ascii="Arial" w:hAnsi="Arial" w:eastAsia="等线" w:cs="Arial"/>
          <w:sz w:val="22"/>
          <w:highlight w:val="yellow"/>
        </w:rPr>
        <w:t>。</w:t>
      </w:r>
      <w:r>
        <w:rPr>
          <w:rFonts w:hint="eastAsia" w:ascii="Arial" w:hAnsi="Arial" w:eastAsia="等线" w:cs="Arial"/>
          <w:sz w:val="22"/>
          <w:highlight w:val="yellow"/>
          <w:lang w:eastAsia="zh-CN"/>
        </w:rPr>
        <w:t>拆除的旧管道泵归采购人所有。</w:t>
      </w:r>
    </w:p>
    <w:p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核心性能：额定流量12.5m³/h，扬程50m，转速2900r/min</w:t>
      </w:r>
    </w:p>
    <w:p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配套电机：5.5kW、2极，电压380V，防护等级IP55，绝缘等级F级，接线方式△（三角形）</w:t>
      </w:r>
      <w:bookmarkStart w:id="1" w:name="_GoBack"/>
      <w:bookmarkEnd w:id="1"/>
    </w:p>
    <w:p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法兰规格：进出口DN50，4孔、PN16法兰，法兰中心距（边到边）360mm，需完全匹配原有安装尺寸，确保原位安装</w:t>
      </w:r>
    </w:p>
    <w:p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材质及密封：机械密封为硬质合金对碳化硅；适用介质为清水，适用温度≤120℃；泵体材质建议为HT200灰铸铁（常规工况）或304不锈钢（防腐工况）</w:t>
      </w:r>
    </w:p>
    <w:p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执行标准：符合GB/T 5657-2013《离心泵技术条件（Ⅲ类）》、GB 18613-2020《电动机能效限定值及能效等级》</w:t>
      </w:r>
    </w:p>
    <w:p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资质要求：供应商需提供产品出厂合格证、检测报告，确保产品合格合规</w:t>
      </w:r>
    </w:p>
    <w:p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代表品牌：上海凯泉、上海连成、南方泵业、上海熊猫、人民水泵等</w:t>
      </w:r>
    </w:p>
    <w:p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配置优势：标配新国标能效电机（IP55防护），机械密封为硬质合金，泵体为高强度HT200铸铁，完全匹配360mm安装尺寸</w:t>
      </w:r>
    </w:p>
    <w:p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适用场景：长期运维、工业及民用常规场景，质量稳定，售后有保障，符合国家能效环保要求</w:t>
      </w:r>
    </w:p>
    <w:p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eastAsia="zh-CN"/>
        </w:rPr>
        <w:t>质保期：</w:t>
      </w:r>
      <w:r>
        <w:rPr>
          <w:rFonts w:hint="eastAsia" w:ascii="Arial" w:hAnsi="Arial" w:eastAsia="等线" w:cs="Arial"/>
          <w:sz w:val="22"/>
          <w:lang w:val="en-US" w:eastAsia="zh-CN"/>
        </w:rPr>
        <w:t>1年</w:t>
      </w:r>
      <w:r>
        <w:rPr>
          <w:rFonts w:hint="eastAsia" w:ascii="Arial" w:hAnsi="Arial" w:eastAsia="等线" w:cs="Arial"/>
          <w:sz w:val="22"/>
          <w:highlight w:val="yellow"/>
          <w:lang w:val="en-US" w:eastAsia="zh-CN"/>
        </w:rPr>
        <w:t>（如果标的物交付使用后，缺陷多次反复出现，供应商必须提出分析报告和解决方案，直到最后调换，供应商提供的质保从纠正之日起重新计算质保期。）</w:t>
      </w:r>
    </w:p>
    <w:p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优先选择“国产知名品牌”，兼顾性价比、质量稳定性及售后保障，符合国家最新能效标准，适合长期使用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sectPr>
      <w:pgSz w:w="11905" w:h="16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useFELayout/>
    <w:splitPgBreakAndParaMark/>
    <w:compatSetting w:name="compatibilityMode" w:uri="http://schemas.microsoft.com/office/word" w:val="12"/>
  </w:compat>
  <w:docVars>
    <w:docVar w:name="commondata" w:val="eyJoZGlkIjoiOGYyMDk1NTkxMDUxNmQ3MDk1YWZlNjlkZjBiYWQ2YmIifQ=="/>
  </w:docVars>
  <w:rsids>
    <w:rsidRoot w:val="005638A3"/>
    <w:rsid w:val="00054769"/>
    <w:rsid w:val="00161416"/>
    <w:rsid w:val="001C1669"/>
    <w:rsid w:val="005638A3"/>
    <w:rsid w:val="005C497B"/>
    <w:rsid w:val="006C1391"/>
    <w:rsid w:val="007E021F"/>
    <w:rsid w:val="0096132B"/>
    <w:rsid w:val="00E92281"/>
    <w:rsid w:val="3FD86AD0"/>
    <w:rsid w:val="4CA63267"/>
    <w:rsid w:val="5F126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974</Characters>
  <Lines>8</Lines>
  <Paragraphs>2</Paragraphs>
  <TotalTime>1</TotalTime>
  <ScaleCrop>false</ScaleCrop>
  <LinksUpToDate>false</LinksUpToDate>
  <CharactersWithSpaces>1142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2026-04-16T02:59:00Z</dcterms:created>
  <dc:creator>Apache POI</dc:creator>
  <cp:lastModifiedBy>Administrator</cp:lastModifiedBy>
  <dcterms:modified xsi:type="dcterms:W3CDTF">2026-04-21T07:56:22Z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DDA89AB80D6B4B2EBCAB9CBC2950EFB6_12</vt:lpwstr>
  </property>
</Properties>
</file>