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麻醉车</w:t>
      </w:r>
      <w:r>
        <w:rPr>
          <w:rFonts w:hint="eastAsia" w:ascii="宋体" w:hAnsi="宋体" w:cs="宋体"/>
          <w:color w:val="auto"/>
          <w:sz w:val="24"/>
          <w:szCs w:val="24"/>
          <w:highlight w:val="none"/>
          <w:lang w:val="en-US" w:eastAsia="zh-CN"/>
        </w:rPr>
        <w:t>等的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麻醉车</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SYYZBB2026-YG-006</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麻醉车等采购项目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30.6万元。</w:t>
      </w:r>
    </w:p>
    <w:p>
      <w:pPr>
        <w:pStyle w:val="2"/>
        <w:rPr>
          <w:rFonts w:hint="eastAsia"/>
          <w:lang w:val="en-US" w:eastAsia="zh-CN"/>
        </w:rPr>
      </w:pPr>
      <w:r>
        <w:rPr>
          <w:rFonts w:hint="eastAsia" w:eastAsia="宋体" w:cs="宋体"/>
          <w:color w:val="auto"/>
          <w:sz w:val="24"/>
          <w:szCs w:val="24"/>
          <w:highlight w:val="none"/>
          <w:lang w:val="en-US" w:eastAsia="zh-CN"/>
        </w:rPr>
        <w:t>最高限价：29.1万元</w:t>
      </w:r>
      <w:bookmarkStart w:id="4" w:name="_GoBack"/>
      <w:bookmarkEnd w:id="4"/>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28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7"/>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2026年2月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5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首行缩进"/>
    <w:basedOn w:val="1"/>
    <w:next w:val="1"/>
    <w:qFormat/>
    <w:uiPriority w:val="0"/>
    <w:pPr>
      <w:spacing w:line="360" w:lineRule="auto"/>
      <w:ind w:firstLine="48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2026-02-25T02:27:13Z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