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default" w:ascii="宋体" w:hAnsi="宋体" w:eastAsia="宋体" w:cs="宋体"/>
          <w:color w:val="auto"/>
          <w:sz w:val="24"/>
          <w:szCs w:val="24"/>
          <w:highlight w:val="none"/>
          <w:lang w:val="en-US" w:eastAsia="zh-CN"/>
        </w:rPr>
        <w:t>全自动核酸提纯及实时荧光PCR分析系统</w:t>
      </w:r>
      <w:r>
        <w:rPr>
          <w:rFonts w:hint="eastAsia" w:ascii="宋体" w:hAnsi="宋体" w:cs="宋体"/>
          <w:color w:val="auto"/>
          <w:sz w:val="24"/>
          <w:szCs w:val="24"/>
          <w:highlight w:val="none"/>
          <w:lang w:val="en-US" w:eastAsia="zh-CN"/>
        </w:rPr>
        <w:t>的</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default" w:ascii="宋体" w:hAnsi="宋体" w:eastAsia="宋体" w:cs="宋体"/>
          <w:color w:val="auto"/>
          <w:sz w:val="24"/>
          <w:szCs w:val="24"/>
          <w:highlight w:val="none"/>
          <w:lang w:val="en-US" w:eastAsia="zh-CN"/>
        </w:rPr>
        <w:t>全自动核酸提纯及实时荧光PCR分析系统</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SYYZBB2026-YG-010</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default" w:ascii="宋体" w:hAnsi="宋体" w:eastAsia="宋体" w:cs="宋体"/>
          <w:color w:val="auto"/>
          <w:sz w:val="24"/>
          <w:szCs w:val="24"/>
          <w:highlight w:val="none"/>
          <w:lang w:val="en-US" w:eastAsia="zh-CN"/>
        </w:rPr>
        <w:t>全自动核酸提纯及实时荧光PCR分析系统</w:t>
      </w:r>
      <w:r>
        <w:rPr>
          <w:rFonts w:hint="eastAsia" w:ascii="宋体" w:hAnsi="宋体" w:eastAsia="宋体" w:cs="宋体"/>
          <w:color w:val="auto"/>
          <w:sz w:val="24"/>
          <w:szCs w:val="24"/>
          <w:highlight w:val="none"/>
          <w:lang w:val="en-US" w:eastAsia="zh-CN"/>
        </w:rPr>
        <w:t>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bookmarkStart w:id="4" w:name="_GoBack"/>
      <w:bookmarkEnd w:id="4"/>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预算金额：28万元。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采购需求：详见比选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14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6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next w:val="1"/>
    <w:uiPriority w:val="0"/>
    <w:pPr>
      <w:ind w:firstLine="645"/>
    </w:pPr>
    <w:rPr>
      <w:rFonts w:ascii="楷体_GB2312" w:hAnsi="宋体" w:eastAsia="楷体_GB2312"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2026-02-05T10:01:58Z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