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bookmarkStart w:id="4" w:name="_GoBack"/>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骨科手术器械</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bookmarkEnd w:id="4"/>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骨科手术器械</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SYYZBB2025-YG-045</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骨科手术器械采购项目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14.31万元。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请将以上所需报名资料每页加盖公司公章后</w:t>
      </w:r>
      <w:r>
        <w:rPr>
          <w:rFonts w:hint="eastAsia" w:ascii="宋体" w:hAnsi="宋体" w:eastAsia="宋体" w:cs="宋体"/>
          <w:b/>
          <w:bCs/>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7"/>
      <w:bookmarkStart w:id="3" w:name="bookmark195"/>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2025年12月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2025-12-09T09:02:05Z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