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医疗设备财产综合险与机器损坏保险项目中标（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医疗设备财产综合险与机器损坏保险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院内询价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询价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医疗设备财产综合险与机器损坏保险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询价</w:t>
      </w:r>
      <w:r>
        <w:rPr>
          <w:rFonts w:hint="eastAsia" w:ascii="微软雅黑" w:hAnsi="微软雅黑" w:eastAsia="微软雅黑" w:cs="微软雅黑"/>
          <w:color w:val="666666"/>
        </w:rPr>
        <w:t>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2025年11月19日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中国太平洋财产保险股份有限公司张家港中心支公司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成交金额：179988元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2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2025-11-19T07:31:34Z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